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A97" w:rsidRPr="00E547F7" w:rsidRDefault="00756A97" w:rsidP="00E547F7">
      <w:pPr>
        <w:spacing w:line="480" w:lineRule="auto"/>
        <w:rPr>
          <w:rFonts w:ascii="Times New Roman" w:hAnsi="Times New Roman" w:cs="Times New Roman"/>
          <w:sz w:val="24"/>
          <w:szCs w:val="24"/>
        </w:rPr>
      </w:pPr>
      <w:bookmarkStart w:id="0" w:name="_GoBack"/>
      <w:bookmarkEnd w:id="0"/>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jc w:val="center"/>
        <w:rPr>
          <w:rFonts w:ascii="Times New Roman" w:hAnsi="Times New Roman" w:cs="Times New Roman"/>
          <w:sz w:val="24"/>
          <w:szCs w:val="24"/>
        </w:rPr>
      </w:pPr>
      <w:r w:rsidRPr="00E547F7">
        <w:rPr>
          <w:rFonts w:ascii="Times New Roman" w:hAnsi="Times New Roman" w:cs="Times New Roman"/>
          <w:sz w:val="24"/>
          <w:szCs w:val="24"/>
        </w:rPr>
        <w:t>Literature Review of Pseudo-Stuttering and Disability Simulation</w:t>
      </w:r>
    </w:p>
    <w:p w:rsidR="00756A97" w:rsidRPr="00E547F7" w:rsidRDefault="00756A97" w:rsidP="00E547F7">
      <w:pPr>
        <w:spacing w:line="480" w:lineRule="auto"/>
        <w:jc w:val="center"/>
        <w:rPr>
          <w:rFonts w:ascii="Times New Roman" w:hAnsi="Times New Roman" w:cs="Times New Roman"/>
          <w:sz w:val="24"/>
          <w:szCs w:val="24"/>
        </w:rPr>
      </w:pPr>
      <w:r w:rsidRPr="00E547F7">
        <w:rPr>
          <w:rFonts w:ascii="Times New Roman" w:hAnsi="Times New Roman" w:cs="Times New Roman"/>
          <w:sz w:val="24"/>
          <w:szCs w:val="24"/>
        </w:rPr>
        <w:t>Name</w:t>
      </w:r>
    </w:p>
    <w:p w:rsidR="00756A97" w:rsidRPr="00E547F7" w:rsidRDefault="00756A97" w:rsidP="00E547F7">
      <w:pPr>
        <w:spacing w:line="480" w:lineRule="auto"/>
        <w:jc w:val="center"/>
        <w:rPr>
          <w:rFonts w:ascii="Times New Roman" w:hAnsi="Times New Roman" w:cs="Times New Roman"/>
          <w:sz w:val="24"/>
          <w:szCs w:val="24"/>
        </w:rPr>
      </w:pPr>
      <w:r w:rsidRPr="00E547F7">
        <w:rPr>
          <w:rFonts w:ascii="Times New Roman" w:hAnsi="Times New Roman" w:cs="Times New Roman"/>
          <w:sz w:val="24"/>
          <w:szCs w:val="24"/>
        </w:rPr>
        <w:t>Institutional Affiliation</w:t>
      </w:r>
    </w:p>
    <w:p w:rsidR="00756A97" w:rsidRPr="00E547F7" w:rsidRDefault="00756A97" w:rsidP="00E547F7">
      <w:pPr>
        <w:spacing w:line="480" w:lineRule="auto"/>
        <w:rPr>
          <w:rFonts w:ascii="Times New Roman" w:hAnsi="Times New Roman" w:cs="Times New Roman"/>
          <w:sz w:val="24"/>
          <w:szCs w:val="24"/>
        </w:rPr>
      </w:pPr>
    </w:p>
    <w:p w:rsidR="00756A97" w:rsidRPr="00E547F7" w:rsidRDefault="00756A97" w:rsidP="00E547F7">
      <w:pPr>
        <w:spacing w:line="480" w:lineRule="auto"/>
        <w:rPr>
          <w:rFonts w:ascii="Times New Roman" w:hAnsi="Times New Roman" w:cs="Times New Roman"/>
          <w:sz w:val="24"/>
          <w:szCs w:val="24"/>
        </w:rPr>
      </w:pPr>
      <w:r w:rsidRPr="00E547F7">
        <w:rPr>
          <w:rFonts w:ascii="Times New Roman" w:hAnsi="Times New Roman" w:cs="Times New Roman"/>
          <w:sz w:val="24"/>
          <w:szCs w:val="24"/>
        </w:rPr>
        <w:br w:type="page"/>
      </w:r>
    </w:p>
    <w:p w:rsidR="00756A97" w:rsidRPr="00E547F7" w:rsidRDefault="00756A97" w:rsidP="00E547F7">
      <w:pPr>
        <w:tabs>
          <w:tab w:val="left" w:pos="0"/>
        </w:tabs>
        <w:spacing w:line="480" w:lineRule="auto"/>
        <w:jc w:val="center"/>
        <w:rPr>
          <w:rFonts w:ascii="Times New Roman" w:hAnsi="Times New Roman" w:cs="Times New Roman"/>
          <w:sz w:val="24"/>
          <w:szCs w:val="24"/>
        </w:rPr>
      </w:pPr>
      <w:r w:rsidRPr="00E547F7">
        <w:rPr>
          <w:rFonts w:ascii="Times New Roman" w:hAnsi="Times New Roman" w:cs="Times New Roman"/>
          <w:sz w:val="24"/>
          <w:szCs w:val="24"/>
        </w:rPr>
        <w:lastRenderedPageBreak/>
        <w:t>Literature Review of Pseudo-Stuttering and Disability Simulation</w:t>
      </w:r>
    </w:p>
    <w:p w:rsidR="0043547A" w:rsidRPr="00E547F7" w:rsidRDefault="00461861" w:rsidP="00E547F7">
      <w:pPr>
        <w:tabs>
          <w:tab w:val="left" w:pos="0"/>
        </w:tabs>
        <w:spacing w:line="480" w:lineRule="auto"/>
        <w:rPr>
          <w:rFonts w:ascii="Times New Roman" w:hAnsi="Times New Roman" w:cs="Times New Roman"/>
          <w:sz w:val="24"/>
          <w:szCs w:val="24"/>
        </w:rPr>
      </w:pPr>
      <w:r w:rsidRPr="00E547F7">
        <w:rPr>
          <w:rFonts w:ascii="Times New Roman" w:hAnsi="Times New Roman" w:cs="Times New Roman"/>
          <w:sz w:val="24"/>
          <w:szCs w:val="24"/>
        </w:rPr>
        <w:tab/>
      </w:r>
      <w:r w:rsidR="0043547A" w:rsidRPr="00E547F7">
        <w:rPr>
          <w:rFonts w:ascii="Times New Roman" w:hAnsi="Times New Roman" w:cs="Times New Roman"/>
          <w:sz w:val="24"/>
          <w:szCs w:val="24"/>
        </w:rPr>
        <w:t>Pseudo Stuttering is the conscious creation, by any speaker, of obvious dis-ﬂuencies that looks like faltering (RAMI et al., 2003, p. 492). Pseudo stammering is a type of Disability Simulation that regularly is utilized in familiarity problems courses or examinations to make sympathy or treatment for individuals who falter (</w:t>
      </w:r>
      <w:proofErr w:type="spellStart"/>
      <w:r w:rsidR="0043547A" w:rsidRPr="00E547F7">
        <w:rPr>
          <w:rFonts w:ascii="Times New Roman" w:hAnsi="Times New Roman" w:cs="Times New Roman"/>
          <w:sz w:val="24"/>
          <w:szCs w:val="24"/>
        </w:rPr>
        <w:t>Bradenm</w:t>
      </w:r>
      <w:proofErr w:type="spellEnd"/>
      <w:r w:rsidR="0043547A" w:rsidRPr="00E547F7">
        <w:rPr>
          <w:rFonts w:ascii="Times New Roman" w:hAnsi="Times New Roman" w:cs="Times New Roman"/>
          <w:sz w:val="24"/>
          <w:szCs w:val="24"/>
        </w:rPr>
        <w:t>, 2018). RAMI et al (2003) survey that pseudo stammering practices has been in presence since the mid-1930s and it keeps on being used till date. Incapacity recreations are one of the most mainstream exercises used to educate about handicaps. They for the most part include having individuals perform ordinary exercises with an impermanent handicap, for this situation, stammering. Quite, they are mainstream with instructors, yet profoundly dubious among handicap activists since it is profoundly worried about how these recreations influence public perspectives towards an abled diversely individual (Silverman, 2017).</w:t>
      </w:r>
    </w:p>
    <w:p w:rsidR="00173D7B" w:rsidRPr="00E547F7" w:rsidRDefault="000D05A1" w:rsidP="00E547F7">
      <w:pPr>
        <w:tabs>
          <w:tab w:val="left" w:pos="90"/>
        </w:tabs>
        <w:spacing w:line="480" w:lineRule="auto"/>
        <w:rPr>
          <w:rFonts w:ascii="Times New Roman" w:hAnsi="Times New Roman" w:cs="Times New Roman"/>
          <w:sz w:val="24"/>
          <w:szCs w:val="24"/>
        </w:rPr>
      </w:pPr>
      <w:r w:rsidRPr="00E547F7">
        <w:rPr>
          <w:rFonts w:ascii="Times New Roman" w:hAnsi="Times New Roman" w:cs="Times New Roman"/>
          <w:sz w:val="24"/>
          <w:szCs w:val="24"/>
        </w:rPr>
        <w:t xml:space="preserve"> </w:t>
      </w:r>
      <w:r w:rsidR="00630240" w:rsidRPr="00E547F7">
        <w:rPr>
          <w:rFonts w:ascii="Times New Roman" w:hAnsi="Times New Roman" w:cs="Times New Roman"/>
          <w:sz w:val="24"/>
          <w:szCs w:val="24"/>
        </w:rPr>
        <w:tab/>
      </w:r>
      <w:r w:rsidR="00630240" w:rsidRPr="00E547F7">
        <w:rPr>
          <w:rFonts w:ascii="Times New Roman" w:hAnsi="Times New Roman" w:cs="Times New Roman"/>
          <w:sz w:val="24"/>
          <w:szCs w:val="24"/>
        </w:rPr>
        <w:tab/>
      </w:r>
      <w:r w:rsidR="00173D7B" w:rsidRPr="00E547F7">
        <w:rPr>
          <w:rFonts w:ascii="Times New Roman" w:hAnsi="Times New Roman" w:cs="Times New Roman"/>
          <w:sz w:val="24"/>
          <w:szCs w:val="24"/>
        </w:rPr>
        <w:t xml:space="preserve">Albeit an intricate case with inability lobbyist </w:t>
      </w:r>
      <w:proofErr w:type="spellStart"/>
      <w:r w:rsidR="00173D7B" w:rsidRPr="00E547F7">
        <w:rPr>
          <w:rFonts w:ascii="Times New Roman" w:hAnsi="Times New Roman" w:cs="Times New Roman"/>
          <w:sz w:val="24"/>
          <w:szCs w:val="24"/>
        </w:rPr>
        <w:t>Reitzes</w:t>
      </w:r>
      <w:proofErr w:type="spellEnd"/>
      <w:r w:rsidR="00173D7B" w:rsidRPr="00E547F7">
        <w:rPr>
          <w:rFonts w:ascii="Times New Roman" w:hAnsi="Times New Roman" w:cs="Times New Roman"/>
          <w:sz w:val="24"/>
          <w:szCs w:val="24"/>
        </w:rPr>
        <w:t xml:space="preserve"> (2005) states that Volunteer falter is one of the most gainful devices or systems for individuals with cutting edge language. As Pseudo-falter is utilized in language treatment: right off the bat to assist the individual with the language practice and essential stammering (</w:t>
      </w:r>
      <w:proofErr w:type="spellStart"/>
      <w:r w:rsidR="00173D7B" w:rsidRPr="00E547F7">
        <w:rPr>
          <w:rFonts w:ascii="Times New Roman" w:hAnsi="Times New Roman" w:cs="Times New Roman"/>
          <w:sz w:val="24"/>
          <w:szCs w:val="24"/>
        </w:rPr>
        <w:t>Blomgren</w:t>
      </w:r>
      <w:proofErr w:type="spellEnd"/>
      <w:r w:rsidR="00173D7B" w:rsidRPr="00E547F7">
        <w:rPr>
          <w:rFonts w:ascii="Times New Roman" w:hAnsi="Times New Roman" w:cs="Times New Roman"/>
          <w:sz w:val="24"/>
          <w:szCs w:val="24"/>
        </w:rPr>
        <w:t xml:space="preserve">, 2013) for example repetition, augmentation, facial forms, and head-twitching), besides to give a progression of discouraging encounters that put the detailed faltering involvement with an alternate point of view (McAllister et al., 2017), and at last show that stammering contains both willful and incongruent components (Kraft et al., 2019, page 27). Notwithstanding the goals laid out over, the act of faltering has a long history as an instructive device for speech-language pathologists in </w:t>
      </w:r>
      <w:r w:rsidR="00DC26C1" w:rsidRPr="00E547F7">
        <w:rPr>
          <w:rFonts w:ascii="Times New Roman" w:hAnsi="Times New Roman" w:cs="Times New Roman"/>
          <w:sz w:val="24"/>
          <w:szCs w:val="24"/>
        </w:rPr>
        <w:t>training (</w:t>
      </w:r>
      <w:r w:rsidR="00173D7B" w:rsidRPr="00E547F7">
        <w:rPr>
          <w:rFonts w:ascii="Times New Roman" w:hAnsi="Times New Roman" w:cs="Times New Roman"/>
          <w:sz w:val="24"/>
          <w:szCs w:val="24"/>
        </w:rPr>
        <w:t xml:space="preserve">RAMI et al., 2003, p. 493). The explanation behind its utilization in preparing incorporates a powerful and proficient method of communication failure is a particular social obligation and the cost of its </w:t>
      </w:r>
      <w:r w:rsidR="00173D7B" w:rsidRPr="00E547F7">
        <w:rPr>
          <w:rFonts w:ascii="Times New Roman" w:hAnsi="Times New Roman" w:cs="Times New Roman"/>
          <w:sz w:val="24"/>
          <w:szCs w:val="24"/>
        </w:rPr>
        <w:lastRenderedPageBreak/>
        <w:t>assistants (e.g. ridicule, unwelcome harassment, and receiving negative public attention). In other words, some training institutions feel that the best way to understand stuttering is to ‘accept the disease’ in the short term and apply the reuse of ‘pretendin</w:t>
      </w:r>
      <w:r w:rsidR="00325BC6" w:rsidRPr="00E547F7">
        <w:rPr>
          <w:rFonts w:ascii="Times New Roman" w:hAnsi="Times New Roman" w:cs="Times New Roman"/>
          <w:sz w:val="24"/>
          <w:szCs w:val="24"/>
        </w:rPr>
        <w:t>g’ as a person with the stutter i.e. Speech Language Pathologists (SLP) take part in pseudo-stuttering exercises can assist understudies with bettering comprehend the idea of stammering</w:t>
      </w:r>
      <w:r w:rsidR="00EF722B" w:rsidRPr="00E547F7">
        <w:rPr>
          <w:rFonts w:ascii="Times New Roman" w:hAnsi="Times New Roman" w:cs="Times New Roman"/>
          <w:sz w:val="24"/>
          <w:szCs w:val="24"/>
        </w:rPr>
        <w:t>, in this way growing more sure relations with their clients</w:t>
      </w:r>
      <w:r w:rsidR="00325BC6" w:rsidRPr="00E547F7">
        <w:rPr>
          <w:rFonts w:ascii="Times New Roman" w:hAnsi="Times New Roman" w:cs="Times New Roman"/>
          <w:sz w:val="24"/>
          <w:szCs w:val="24"/>
        </w:rPr>
        <w:t xml:space="preserve"> </w:t>
      </w:r>
      <w:r w:rsidR="00173D7B" w:rsidRPr="00E547F7">
        <w:rPr>
          <w:rFonts w:ascii="Times New Roman" w:hAnsi="Times New Roman" w:cs="Times New Roman"/>
          <w:sz w:val="24"/>
          <w:szCs w:val="24"/>
        </w:rPr>
        <w:t>(</w:t>
      </w:r>
      <w:r w:rsidR="00EF722B" w:rsidRPr="00E547F7">
        <w:rPr>
          <w:rFonts w:ascii="Times New Roman" w:hAnsi="Times New Roman" w:cs="Times New Roman"/>
          <w:sz w:val="24"/>
          <w:szCs w:val="24"/>
        </w:rPr>
        <w:t xml:space="preserve">Tobin &amp; Lyons, 2015, p. 330, </w:t>
      </w:r>
      <w:proofErr w:type="spellStart"/>
      <w:r w:rsidR="00173D7B" w:rsidRPr="00E547F7">
        <w:rPr>
          <w:rFonts w:ascii="Times New Roman" w:hAnsi="Times New Roman" w:cs="Times New Roman"/>
          <w:sz w:val="24"/>
          <w:szCs w:val="24"/>
        </w:rPr>
        <w:t>Bradenm</w:t>
      </w:r>
      <w:proofErr w:type="spellEnd"/>
      <w:r w:rsidR="00173D7B" w:rsidRPr="00E547F7">
        <w:rPr>
          <w:rFonts w:ascii="Times New Roman" w:hAnsi="Times New Roman" w:cs="Times New Roman"/>
          <w:sz w:val="24"/>
          <w:szCs w:val="24"/>
        </w:rPr>
        <w:t>, 2018)</w:t>
      </w:r>
      <w:r w:rsidR="00EF722B" w:rsidRPr="00E547F7">
        <w:rPr>
          <w:rFonts w:ascii="Times New Roman" w:hAnsi="Times New Roman" w:cs="Times New Roman"/>
          <w:sz w:val="24"/>
          <w:szCs w:val="24"/>
        </w:rPr>
        <w:t>.</w:t>
      </w:r>
    </w:p>
    <w:p w:rsidR="00E450BB" w:rsidRPr="00E547F7" w:rsidRDefault="00617AF4" w:rsidP="00E547F7">
      <w:pPr>
        <w:tabs>
          <w:tab w:val="left" w:pos="0"/>
        </w:tabs>
        <w:spacing w:line="480" w:lineRule="auto"/>
        <w:rPr>
          <w:rFonts w:ascii="Times New Roman" w:hAnsi="Times New Roman" w:cs="Times New Roman"/>
          <w:sz w:val="24"/>
          <w:szCs w:val="24"/>
        </w:rPr>
      </w:pPr>
      <w:r w:rsidRPr="00E547F7">
        <w:rPr>
          <w:rFonts w:ascii="Times New Roman" w:hAnsi="Times New Roman" w:cs="Times New Roman"/>
          <w:sz w:val="24"/>
          <w:szCs w:val="24"/>
        </w:rPr>
        <w:tab/>
      </w:r>
      <w:r w:rsidR="00E450BB" w:rsidRPr="00E547F7">
        <w:rPr>
          <w:rFonts w:ascii="Times New Roman" w:hAnsi="Times New Roman" w:cs="Times New Roman"/>
          <w:sz w:val="24"/>
          <w:szCs w:val="24"/>
        </w:rPr>
        <w:t xml:space="preserve">Stuttering, unlike other disability, is easy to mimic and the disease has no other </w:t>
      </w:r>
      <w:r w:rsidR="00461861" w:rsidRPr="00E547F7">
        <w:rPr>
          <w:rFonts w:ascii="Times New Roman" w:hAnsi="Times New Roman" w:cs="Times New Roman"/>
          <w:sz w:val="24"/>
          <w:szCs w:val="24"/>
        </w:rPr>
        <w:t>behaviors</w:t>
      </w:r>
      <w:r w:rsidR="00E450BB" w:rsidRPr="00E547F7">
        <w:rPr>
          <w:rFonts w:ascii="Times New Roman" w:hAnsi="Times New Roman" w:cs="Times New Roman"/>
          <w:sz w:val="24"/>
          <w:szCs w:val="24"/>
        </w:rPr>
        <w:t xml:space="preserve"> other than the stuttering itself, which will reveal the erroneous nature of the artificial limb. The use of artificial languages is recommended by Speech-Language Pathologists (SLP) and people who stutter understand, empathize with and test the unreasonable and unreasonable expectations of impact, as well as </w:t>
      </w:r>
      <w:r w:rsidR="00461861" w:rsidRPr="00E547F7">
        <w:rPr>
          <w:rFonts w:ascii="Times New Roman" w:hAnsi="Times New Roman" w:cs="Times New Roman"/>
          <w:sz w:val="24"/>
          <w:szCs w:val="24"/>
        </w:rPr>
        <w:t>modeling</w:t>
      </w:r>
      <w:r w:rsidR="00E450BB" w:rsidRPr="00E547F7">
        <w:rPr>
          <w:rFonts w:ascii="Times New Roman" w:hAnsi="Times New Roman" w:cs="Times New Roman"/>
          <w:sz w:val="24"/>
          <w:szCs w:val="24"/>
        </w:rPr>
        <w:t xml:space="preserve"> in capture for client analysis. According to </w:t>
      </w:r>
      <w:proofErr w:type="spellStart"/>
      <w:r w:rsidR="00E450BB" w:rsidRPr="00E547F7">
        <w:rPr>
          <w:rFonts w:ascii="Times New Roman" w:hAnsi="Times New Roman" w:cs="Times New Roman"/>
          <w:sz w:val="24"/>
          <w:szCs w:val="24"/>
        </w:rPr>
        <w:t>Blomgren</w:t>
      </w:r>
      <w:proofErr w:type="spellEnd"/>
      <w:r w:rsidR="00E450BB" w:rsidRPr="00E547F7">
        <w:rPr>
          <w:rFonts w:ascii="Times New Roman" w:hAnsi="Times New Roman" w:cs="Times New Roman"/>
          <w:sz w:val="24"/>
          <w:szCs w:val="24"/>
        </w:rPr>
        <w:t xml:space="preserve"> (2013), SLP uses false language during training to increase parent-child communication through education and advising parents to participate in their child's treatment. Parents learn the basics of effective communication and the basics of stuttering. </w:t>
      </w:r>
      <w:r w:rsidR="00756A97" w:rsidRPr="00E547F7">
        <w:rPr>
          <w:rFonts w:ascii="Times New Roman" w:hAnsi="Times New Roman" w:cs="Times New Roman"/>
          <w:sz w:val="24"/>
          <w:szCs w:val="24"/>
        </w:rPr>
        <w:t>Counseling</w:t>
      </w:r>
      <w:r w:rsidR="00E450BB" w:rsidRPr="00E547F7">
        <w:rPr>
          <w:rFonts w:ascii="Times New Roman" w:hAnsi="Times New Roman" w:cs="Times New Roman"/>
          <w:sz w:val="24"/>
          <w:szCs w:val="24"/>
        </w:rPr>
        <w:t xml:space="preserve"> helps parents reduce their anxiety and worry about their child's stuttering, and teaches parents to respond to their child's stuttering in a supportive and understanding way. At the same time as parent/caregivers are warned that languages can be restored as introduced. Therefore it is suggested that artificial languages be used to help improve the understanding of speech pathologists in talking about the attitude of people who stutter and their ability to care for the disease. Several researchers have demonstrated its use of desensitization in the stuttering population, transmission and retention and training of those who will become language-disabled people (</w:t>
      </w:r>
      <w:proofErr w:type="spellStart"/>
      <w:r w:rsidR="00E450BB" w:rsidRPr="00E547F7">
        <w:rPr>
          <w:rFonts w:ascii="Times New Roman" w:hAnsi="Times New Roman" w:cs="Times New Roman"/>
          <w:sz w:val="24"/>
          <w:szCs w:val="24"/>
        </w:rPr>
        <w:t>Reitzes</w:t>
      </w:r>
      <w:proofErr w:type="spellEnd"/>
      <w:r w:rsidR="00E450BB" w:rsidRPr="00E547F7">
        <w:rPr>
          <w:rFonts w:ascii="Times New Roman" w:hAnsi="Times New Roman" w:cs="Times New Roman"/>
          <w:sz w:val="24"/>
          <w:szCs w:val="24"/>
        </w:rPr>
        <w:t>, 2005).</w:t>
      </w:r>
    </w:p>
    <w:p w:rsidR="00E450BB" w:rsidRPr="00E547F7" w:rsidRDefault="00461861" w:rsidP="00E547F7">
      <w:pPr>
        <w:tabs>
          <w:tab w:val="left" w:pos="0"/>
        </w:tabs>
        <w:spacing w:line="480" w:lineRule="auto"/>
        <w:rPr>
          <w:rFonts w:ascii="Times New Roman" w:hAnsi="Times New Roman" w:cs="Times New Roman"/>
          <w:sz w:val="24"/>
          <w:szCs w:val="24"/>
        </w:rPr>
      </w:pPr>
      <w:r w:rsidRPr="00E547F7">
        <w:rPr>
          <w:rFonts w:ascii="Times New Roman" w:hAnsi="Times New Roman" w:cs="Times New Roman"/>
          <w:sz w:val="24"/>
          <w:szCs w:val="24"/>
        </w:rPr>
        <w:tab/>
      </w:r>
      <w:r w:rsidR="00E450BB" w:rsidRPr="00E547F7">
        <w:rPr>
          <w:rFonts w:ascii="Times New Roman" w:hAnsi="Times New Roman" w:cs="Times New Roman"/>
          <w:sz w:val="24"/>
          <w:szCs w:val="24"/>
        </w:rPr>
        <w:t xml:space="preserve">Several authors have reported that </w:t>
      </w:r>
      <w:r w:rsidRPr="00E547F7">
        <w:rPr>
          <w:rFonts w:ascii="Times New Roman" w:hAnsi="Times New Roman" w:cs="Times New Roman"/>
          <w:sz w:val="24"/>
          <w:szCs w:val="24"/>
        </w:rPr>
        <w:t>skepticism</w:t>
      </w:r>
      <w:r w:rsidR="00E450BB" w:rsidRPr="00E547F7">
        <w:rPr>
          <w:rFonts w:ascii="Times New Roman" w:hAnsi="Times New Roman" w:cs="Times New Roman"/>
          <w:sz w:val="24"/>
          <w:szCs w:val="24"/>
        </w:rPr>
        <w:t xml:space="preserve">, anxiety, and resistance to false positives among mainstream speakers are common (Iran &amp; Richmond, 2012, </w:t>
      </w:r>
      <w:proofErr w:type="spellStart"/>
      <w:r w:rsidR="00E450BB" w:rsidRPr="00E547F7">
        <w:rPr>
          <w:rFonts w:ascii="Times New Roman" w:hAnsi="Times New Roman" w:cs="Times New Roman"/>
          <w:sz w:val="24"/>
          <w:szCs w:val="24"/>
        </w:rPr>
        <w:t>Bradenm</w:t>
      </w:r>
      <w:proofErr w:type="spellEnd"/>
      <w:r w:rsidR="00E450BB" w:rsidRPr="00E547F7">
        <w:rPr>
          <w:rFonts w:ascii="Times New Roman" w:hAnsi="Times New Roman" w:cs="Times New Roman"/>
          <w:sz w:val="24"/>
          <w:szCs w:val="24"/>
        </w:rPr>
        <w:t xml:space="preserve">, 2018, Fischer et </w:t>
      </w:r>
      <w:r w:rsidR="00E450BB" w:rsidRPr="00E547F7">
        <w:rPr>
          <w:rFonts w:ascii="Times New Roman" w:hAnsi="Times New Roman" w:cs="Times New Roman"/>
          <w:sz w:val="24"/>
          <w:szCs w:val="24"/>
        </w:rPr>
        <w:lastRenderedPageBreak/>
        <w:t>al., 2017</w:t>
      </w:r>
      <w:r w:rsidR="00E547F7" w:rsidRPr="00E547F7">
        <w:rPr>
          <w:rFonts w:ascii="Times New Roman" w:hAnsi="Times New Roman" w:cs="Times New Roman"/>
          <w:sz w:val="24"/>
          <w:szCs w:val="24"/>
        </w:rPr>
        <w:t xml:space="preserve">, </w:t>
      </w:r>
      <w:proofErr w:type="spellStart"/>
      <w:r w:rsidR="00E547F7" w:rsidRPr="00E547F7">
        <w:rPr>
          <w:rFonts w:ascii="Times New Roman" w:hAnsi="Times New Roman" w:cs="Times New Roman"/>
          <w:sz w:val="24"/>
          <w:szCs w:val="24"/>
        </w:rPr>
        <w:t>Reitzes</w:t>
      </w:r>
      <w:proofErr w:type="spellEnd"/>
      <w:r w:rsidR="00E547F7" w:rsidRPr="00E547F7">
        <w:rPr>
          <w:rFonts w:ascii="Times New Roman" w:hAnsi="Times New Roman" w:cs="Times New Roman"/>
          <w:sz w:val="24"/>
          <w:szCs w:val="24"/>
        </w:rPr>
        <w:t>, 2005</w:t>
      </w:r>
      <w:r w:rsidR="00E450BB" w:rsidRPr="00E547F7">
        <w:rPr>
          <w:rFonts w:ascii="Times New Roman" w:hAnsi="Times New Roman" w:cs="Times New Roman"/>
          <w:sz w:val="24"/>
          <w:szCs w:val="24"/>
        </w:rPr>
        <w:t xml:space="preserve">). According to Fischer et al. (2017) </w:t>
      </w:r>
      <w:r w:rsidR="00B70231" w:rsidRPr="00E547F7">
        <w:rPr>
          <w:rFonts w:ascii="Times New Roman" w:hAnsi="Times New Roman" w:cs="Times New Roman"/>
          <w:sz w:val="24"/>
          <w:szCs w:val="24"/>
        </w:rPr>
        <w:t>research,</w:t>
      </w:r>
      <w:r w:rsidR="00E450BB" w:rsidRPr="00E547F7">
        <w:rPr>
          <w:rFonts w:ascii="Times New Roman" w:hAnsi="Times New Roman" w:cs="Times New Roman"/>
          <w:sz w:val="24"/>
          <w:szCs w:val="24"/>
        </w:rPr>
        <w:t xml:space="preserve"> one hundred and twenty-seven graduate students involved in three false social interactions. Students worked in pairs; one pseudo stuttered while the others were direct observers. They both watched closely. Over 380 student considerations were analyzed using thematic analysis to identify major themes and subthemes. The experience of pseudo </w:t>
      </w:r>
      <w:r w:rsidR="00B70231" w:rsidRPr="00E547F7">
        <w:rPr>
          <w:rFonts w:ascii="Times New Roman" w:hAnsi="Times New Roman" w:cs="Times New Roman"/>
          <w:sz w:val="24"/>
          <w:szCs w:val="24"/>
        </w:rPr>
        <w:t>stammered</w:t>
      </w:r>
      <w:r w:rsidR="00E450BB" w:rsidRPr="00E547F7">
        <w:rPr>
          <w:rFonts w:ascii="Times New Roman" w:hAnsi="Times New Roman" w:cs="Times New Roman"/>
          <w:sz w:val="24"/>
          <w:szCs w:val="24"/>
        </w:rPr>
        <w:t xml:space="preserve"> enhances student empathy when reading stories of a person with </w:t>
      </w:r>
      <w:r w:rsidR="00B70231" w:rsidRPr="00E547F7">
        <w:rPr>
          <w:rFonts w:ascii="Times New Roman" w:hAnsi="Times New Roman" w:cs="Times New Roman"/>
          <w:sz w:val="24"/>
          <w:szCs w:val="24"/>
        </w:rPr>
        <w:t>Stammer</w:t>
      </w:r>
      <w:r w:rsidR="00E450BB" w:rsidRPr="00E547F7">
        <w:rPr>
          <w:rFonts w:ascii="Times New Roman" w:hAnsi="Times New Roman" w:cs="Times New Roman"/>
          <w:sz w:val="24"/>
          <w:szCs w:val="24"/>
        </w:rPr>
        <w:t xml:space="preserve"> (PWS). The students did not like the assignment at all; experienced fear and anxiety about speaking, and at the same time valued it as a learning experience although worried how others took it. From the test, one can expect a certain change in the self-perception of normal speakers and people who stutter because of false experiences.</w:t>
      </w:r>
    </w:p>
    <w:p w:rsidR="00184CDB" w:rsidRPr="00E547F7" w:rsidRDefault="00461861" w:rsidP="00E547F7">
      <w:pPr>
        <w:tabs>
          <w:tab w:val="left" w:pos="0"/>
        </w:tabs>
        <w:spacing w:line="480" w:lineRule="auto"/>
        <w:rPr>
          <w:rFonts w:ascii="Times New Roman" w:hAnsi="Times New Roman" w:cs="Times New Roman"/>
          <w:sz w:val="24"/>
          <w:szCs w:val="24"/>
        </w:rPr>
      </w:pPr>
      <w:r w:rsidRPr="00E547F7">
        <w:rPr>
          <w:rFonts w:ascii="Times New Roman" w:hAnsi="Times New Roman" w:cs="Times New Roman"/>
          <w:sz w:val="24"/>
          <w:szCs w:val="24"/>
        </w:rPr>
        <w:tab/>
      </w:r>
      <w:r w:rsidR="00184CDB" w:rsidRPr="00E547F7">
        <w:rPr>
          <w:rFonts w:ascii="Times New Roman" w:hAnsi="Times New Roman" w:cs="Times New Roman"/>
          <w:sz w:val="24"/>
          <w:szCs w:val="24"/>
        </w:rPr>
        <w:t>The result of the ethical research study conducted by Hughes (2010, p. 95) was in the presence of twenty students in the study of degree qualification who participated in a mock public pseudo-stutterer disability simulation for six weeks. Each student completed an experience of 30 fake stutters in the test. Data was collected in the form of multiple checklists and open journal entries. Descriptive statistics have been used to indicate how students' thoughts, feelings, and behavior change on a weekly basis. Thematic analysis of journal entries was also performed. The outcomes infer that tension evaluations diminished for each extra seven day stretch of pseudo stuttering. Diminished emotionality, expanded clinical experiences, and more readiness to pseudo falter in progressively testing settings were viewed as advantages of broadened pseudo stuttering practice. Convincingly more occasions to work on pseudo stuttering seem to relate with expanded advantages for familiarity issues understudies. While any incapacity reproduction is inclined to analysis since it needs authenticity, teachers of familiarity issues courses can make more moral and clinically important learning openings by asking understudies to pseudo stutter over and again.</w:t>
      </w:r>
    </w:p>
    <w:p w:rsidR="00D01C5B" w:rsidRPr="00E547F7" w:rsidRDefault="00461861" w:rsidP="00E547F7">
      <w:pPr>
        <w:spacing w:line="480" w:lineRule="auto"/>
        <w:rPr>
          <w:rFonts w:ascii="Times New Roman" w:hAnsi="Times New Roman" w:cs="Times New Roman"/>
          <w:sz w:val="24"/>
          <w:szCs w:val="24"/>
        </w:rPr>
      </w:pPr>
      <w:r w:rsidRPr="00E547F7">
        <w:rPr>
          <w:rFonts w:ascii="Times New Roman" w:hAnsi="Times New Roman" w:cs="Times New Roman"/>
          <w:sz w:val="24"/>
          <w:szCs w:val="24"/>
        </w:rPr>
        <w:lastRenderedPageBreak/>
        <w:tab/>
      </w:r>
      <w:r w:rsidR="00184CDB" w:rsidRPr="00E547F7">
        <w:rPr>
          <w:rFonts w:ascii="Times New Roman" w:hAnsi="Times New Roman" w:cs="Times New Roman"/>
          <w:sz w:val="24"/>
          <w:szCs w:val="24"/>
        </w:rPr>
        <w:t xml:space="preserve">In any case, the </w:t>
      </w:r>
      <w:r w:rsidR="00E547F7" w:rsidRPr="00E547F7">
        <w:rPr>
          <w:rFonts w:ascii="Times New Roman" w:hAnsi="Times New Roman" w:cs="Times New Roman"/>
          <w:sz w:val="24"/>
          <w:szCs w:val="24"/>
        </w:rPr>
        <w:t xml:space="preserve">pseudo-stuttering and disability simulation </w:t>
      </w:r>
      <w:r w:rsidR="00184CDB" w:rsidRPr="00E547F7">
        <w:rPr>
          <w:rFonts w:ascii="Times New Roman" w:hAnsi="Times New Roman" w:cs="Times New Roman"/>
          <w:sz w:val="24"/>
          <w:szCs w:val="24"/>
        </w:rPr>
        <w:t>is of advantage in the preparation of SLP to have a viable relationship with their client</w:t>
      </w:r>
      <w:r w:rsidR="00E547F7" w:rsidRPr="00E547F7">
        <w:rPr>
          <w:rFonts w:ascii="Times New Roman" w:hAnsi="Times New Roman" w:cs="Times New Roman"/>
          <w:sz w:val="24"/>
          <w:szCs w:val="24"/>
        </w:rPr>
        <w:t xml:space="preserve"> (</w:t>
      </w:r>
      <w:proofErr w:type="spellStart"/>
      <w:r w:rsidR="00E547F7" w:rsidRPr="00E547F7">
        <w:rPr>
          <w:rFonts w:ascii="Times New Roman" w:hAnsi="Times New Roman" w:cs="Times New Roman"/>
          <w:sz w:val="24"/>
          <w:szCs w:val="24"/>
        </w:rPr>
        <w:t>Blomgren</w:t>
      </w:r>
      <w:proofErr w:type="spellEnd"/>
      <w:r w:rsidR="00E547F7" w:rsidRPr="00E547F7">
        <w:rPr>
          <w:rFonts w:ascii="Times New Roman" w:hAnsi="Times New Roman" w:cs="Times New Roman"/>
          <w:sz w:val="24"/>
          <w:szCs w:val="24"/>
        </w:rPr>
        <w:t>, 2013; Fischer et al., 2017; Hughes, 2010, p. 90; RAMI et al., 2003, p. 493)</w:t>
      </w:r>
      <w:r w:rsidR="00184CDB" w:rsidRPr="00E547F7">
        <w:rPr>
          <w:rFonts w:ascii="Times New Roman" w:hAnsi="Times New Roman" w:cs="Times New Roman"/>
          <w:sz w:val="24"/>
          <w:szCs w:val="24"/>
        </w:rPr>
        <w:t>. There is yet the presence of an adverse generalization of PWS by different social gatherings which incorporates character attributes, for example, timid, apprehensive, unsure, tense, protected, restless, and dreadful. Individuals with PWS frequently disguise such negative generalizations and trust them as evident about themselves</w:t>
      </w:r>
      <w:r w:rsidR="00E547F7" w:rsidRPr="00E547F7">
        <w:rPr>
          <w:rFonts w:ascii="Times New Roman" w:hAnsi="Times New Roman" w:cs="Times New Roman"/>
          <w:sz w:val="24"/>
          <w:szCs w:val="24"/>
        </w:rPr>
        <w:t xml:space="preserve"> (</w:t>
      </w:r>
      <w:proofErr w:type="spellStart"/>
      <w:r w:rsidR="00E547F7" w:rsidRPr="00E547F7">
        <w:rPr>
          <w:rFonts w:ascii="Times New Roman" w:hAnsi="Times New Roman" w:cs="Times New Roman"/>
          <w:sz w:val="24"/>
          <w:szCs w:val="24"/>
        </w:rPr>
        <w:t>Irani</w:t>
      </w:r>
      <w:proofErr w:type="spellEnd"/>
      <w:r w:rsidR="00E547F7" w:rsidRPr="00E547F7">
        <w:rPr>
          <w:rFonts w:ascii="Times New Roman" w:hAnsi="Times New Roman" w:cs="Times New Roman"/>
          <w:sz w:val="24"/>
          <w:szCs w:val="24"/>
        </w:rPr>
        <w:t xml:space="preserve"> &amp; Richmond, 2012)</w:t>
      </w:r>
      <w:r w:rsidR="00184CDB" w:rsidRPr="00E547F7">
        <w:rPr>
          <w:rFonts w:ascii="Times New Roman" w:hAnsi="Times New Roman" w:cs="Times New Roman"/>
          <w:sz w:val="24"/>
          <w:szCs w:val="24"/>
        </w:rPr>
        <w:t xml:space="preserve">. </w:t>
      </w:r>
      <w:proofErr w:type="gramStart"/>
      <w:r w:rsidR="00184CDB" w:rsidRPr="00E547F7">
        <w:rPr>
          <w:rFonts w:ascii="Times New Roman" w:hAnsi="Times New Roman" w:cs="Times New Roman"/>
          <w:sz w:val="24"/>
          <w:szCs w:val="24"/>
        </w:rPr>
        <w:t xml:space="preserve">Thus </w:t>
      </w:r>
      <w:r w:rsidRPr="00E547F7">
        <w:rPr>
          <w:rFonts w:ascii="Times New Roman" w:hAnsi="Times New Roman" w:cs="Times New Roman"/>
          <w:sz w:val="24"/>
          <w:szCs w:val="24"/>
        </w:rPr>
        <w:t>terming the pseudo-stuttering and disability simulation as an ineffective</w:t>
      </w:r>
      <w:r w:rsidR="00184CDB" w:rsidRPr="00E547F7">
        <w:rPr>
          <w:rFonts w:ascii="Times New Roman" w:hAnsi="Times New Roman" w:cs="Times New Roman"/>
          <w:sz w:val="24"/>
          <w:szCs w:val="24"/>
        </w:rPr>
        <w:t xml:space="preserve"> groundbreaking reaction movement for PWS.</w:t>
      </w:r>
      <w:proofErr w:type="gramEnd"/>
      <w:r w:rsidR="00184CDB" w:rsidRPr="00E547F7">
        <w:rPr>
          <w:rFonts w:ascii="Times New Roman" w:hAnsi="Times New Roman" w:cs="Times New Roman"/>
          <w:sz w:val="24"/>
          <w:szCs w:val="24"/>
        </w:rPr>
        <w:t xml:space="preserve"> The activity is just viable for SLP.</w:t>
      </w:r>
    </w:p>
    <w:p w:rsidR="00E547F7" w:rsidRDefault="00D01C5B" w:rsidP="00E547F7">
      <w:pPr>
        <w:tabs>
          <w:tab w:val="left" w:pos="7860"/>
        </w:tabs>
        <w:spacing w:line="480" w:lineRule="auto"/>
        <w:rPr>
          <w:rFonts w:ascii="Times New Roman" w:hAnsi="Times New Roman" w:cs="Times New Roman"/>
          <w:sz w:val="24"/>
          <w:szCs w:val="24"/>
        </w:rPr>
      </w:pPr>
      <w:r w:rsidRPr="00E547F7">
        <w:rPr>
          <w:rFonts w:ascii="Times New Roman" w:hAnsi="Times New Roman" w:cs="Times New Roman"/>
          <w:sz w:val="24"/>
          <w:szCs w:val="24"/>
        </w:rPr>
        <w:t>‘</w:t>
      </w:r>
      <w:r w:rsidR="003A4BA2" w:rsidRPr="00E547F7">
        <w:rPr>
          <w:rFonts w:ascii="Times New Roman" w:hAnsi="Times New Roman" w:cs="Times New Roman"/>
          <w:sz w:val="24"/>
          <w:szCs w:val="24"/>
        </w:rPr>
        <w:tab/>
      </w:r>
    </w:p>
    <w:p w:rsidR="00E547F7" w:rsidRDefault="00E547F7">
      <w:pPr>
        <w:rPr>
          <w:rFonts w:ascii="Times New Roman" w:hAnsi="Times New Roman" w:cs="Times New Roman"/>
          <w:sz w:val="24"/>
          <w:szCs w:val="24"/>
        </w:rPr>
      </w:pPr>
      <w:r>
        <w:rPr>
          <w:rFonts w:ascii="Times New Roman" w:hAnsi="Times New Roman" w:cs="Times New Roman"/>
          <w:sz w:val="24"/>
          <w:szCs w:val="24"/>
        </w:rPr>
        <w:br w:type="page"/>
      </w:r>
    </w:p>
    <w:p w:rsidR="007F5F6C" w:rsidRDefault="00E547F7" w:rsidP="00E547F7">
      <w:pPr>
        <w:tabs>
          <w:tab w:val="left" w:pos="78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547F7" w:rsidRDefault="00E547F7" w:rsidP="00E547F7">
      <w:pPr>
        <w:pStyle w:val="NormalWeb"/>
        <w:spacing w:line="480" w:lineRule="auto"/>
        <w:ind w:left="720" w:hanging="720"/>
      </w:pPr>
      <w:proofErr w:type="spellStart"/>
      <w:proofErr w:type="gramStart"/>
      <w:r>
        <w:t>Blomgren</w:t>
      </w:r>
      <w:proofErr w:type="spellEnd"/>
      <w:r>
        <w:t>, M. (2013).</w:t>
      </w:r>
      <w:proofErr w:type="gramEnd"/>
      <w:r>
        <w:t xml:space="preserve"> </w:t>
      </w:r>
      <w:r>
        <w:rPr>
          <w:i/>
          <w:iCs/>
        </w:rPr>
        <w:t>Behavioral treatments for children and adults who stutter: a review</w:t>
      </w:r>
      <w:r>
        <w:t>. PubMed Central (PMC). https://www.ncbi.nlm.nih.gov/pmc/articles/PMC3682852/</w:t>
      </w:r>
    </w:p>
    <w:p w:rsidR="00E547F7" w:rsidRDefault="00E547F7" w:rsidP="00E547F7">
      <w:pPr>
        <w:pStyle w:val="NormalWeb"/>
        <w:spacing w:line="480" w:lineRule="auto"/>
        <w:ind w:left="720" w:hanging="720"/>
      </w:pPr>
      <w:proofErr w:type="spellStart"/>
      <w:proofErr w:type="gramStart"/>
      <w:r>
        <w:t>Bradenm</w:t>
      </w:r>
      <w:proofErr w:type="spellEnd"/>
      <w:r>
        <w:t>.</w:t>
      </w:r>
      <w:proofErr w:type="gramEnd"/>
      <w:r>
        <w:t xml:space="preserve"> (2018, October 12). </w:t>
      </w:r>
      <w:proofErr w:type="gramStart"/>
      <w:r>
        <w:rPr>
          <w:i/>
          <w:iCs/>
        </w:rPr>
        <w:t>Pseudo-Stuttering Perspective | International Stuttering Awareness</w:t>
      </w:r>
      <w:r>
        <w:t>.</w:t>
      </w:r>
      <w:proofErr w:type="gramEnd"/>
      <w:r>
        <w:t xml:space="preserve"> </w:t>
      </w:r>
      <w:proofErr w:type="gramStart"/>
      <w:r>
        <w:t>International Stuttering Association.</w:t>
      </w:r>
      <w:proofErr w:type="gramEnd"/>
      <w:r>
        <w:t xml:space="preserve"> https://isad.isastutter.org/pseudo-stuttering-perspective/</w:t>
      </w:r>
    </w:p>
    <w:p w:rsidR="00E547F7" w:rsidRDefault="00E547F7" w:rsidP="00E547F7">
      <w:pPr>
        <w:pStyle w:val="NormalWeb"/>
        <w:spacing w:line="480" w:lineRule="auto"/>
        <w:ind w:left="720" w:hanging="720"/>
      </w:pPr>
      <w:r>
        <w:t xml:space="preserve">Fischer, S., </w:t>
      </w:r>
      <w:proofErr w:type="spellStart"/>
      <w:r>
        <w:t>Tetnowski</w:t>
      </w:r>
      <w:proofErr w:type="spellEnd"/>
      <w:r>
        <w:t xml:space="preserve">, J. A., &amp; Osborne, C. (2017, October 2). </w:t>
      </w:r>
      <w:r>
        <w:rPr>
          <w:i/>
          <w:iCs/>
        </w:rPr>
        <w:t xml:space="preserve">Student reflections of </w:t>
      </w:r>
      <w:proofErr w:type="spellStart"/>
      <w:r>
        <w:rPr>
          <w:i/>
          <w:iCs/>
        </w:rPr>
        <w:t>pseudostuttering</w:t>
      </w:r>
      <w:proofErr w:type="spellEnd"/>
      <w:r>
        <w:rPr>
          <w:i/>
          <w:iCs/>
        </w:rPr>
        <w:t xml:space="preserve">: A qualitative retrospective study (Shannon Fischer, Charlie Osborne, John A. </w:t>
      </w:r>
      <w:proofErr w:type="spellStart"/>
      <w:r>
        <w:rPr>
          <w:i/>
          <w:iCs/>
        </w:rPr>
        <w:t>Tetnowski</w:t>
      </w:r>
      <w:proofErr w:type="spellEnd"/>
      <w:r>
        <w:rPr>
          <w:i/>
          <w:iCs/>
        </w:rPr>
        <w:t>) | International Stuttering Awareness</w:t>
      </w:r>
      <w:r>
        <w:t xml:space="preserve">. </w:t>
      </w:r>
      <w:proofErr w:type="gramStart"/>
      <w:r>
        <w:t>International Stuttering Association.</w:t>
      </w:r>
      <w:proofErr w:type="gramEnd"/>
      <w:r>
        <w:t xml:space="preserve"> http://isad.isastutter.org/isad-2017/papers-presented-by/research-therapy-and-support/student-reflections-of-pseudostuttering-a-qualitative-retrospective-study/</w:t>
      </w:r>
    </w:p>
    <w:p w:rsidR="00E547F7" w:rsidRDefault="00E547F7" w:rsidP="00E547F7">
      <w:pPr>
        <w:pStyle w:val="NormalWeb"/>
        <w:spacing w:line="480" w:lineRule="auto"/>
        <w:ind w:left="720" w:hanging="720"/>
      </w:pPr>
      <w:r>
        <w:t xml:space="preserve">Hughes, S. (2010). </w:t>
      </w:r>
      <w:proofErr w:type="gramStart"/>
      <w:r>
        <w:t xml:space="preserve">Ethical and Clinical Implications of </w:t>
      </w:r>
      <w:proofErr w:type="spellStart"/>
      <w:r>
        <w:t>Pseudostuttering</w:t>
      </w:r>
      <w:proofErr w:type="spellEnd"/>
      <w:r>
        <w:t>.</w:t>
      </w:r>
      <w:proofErr w:type="gramEnd"/>
      <w:r>
        <w:t xml:space="preserve"> </w:t>
      </w:r>
      <w:r>
        <w:rPr>
          <w:i/>
          <w:iCs/>
        </w:rPr>
        <w:t>Perspectives on Fluency and Fluency Disorders</w:t>
      </w:r>
      <w:r>
        <w:t xml:space="preserve">, </w:t>
      </w:r>
      <w:r>
        <w:rPr>
          <w:i/>
          <w:iCs/>
        </w:rPr>
        <w:t>20</w:t>
      </w:r>
      <w:r>
        <w:t>(3), 84–96. https://doi.org/10.1044/ffd20.3.84</w:t>
      </w:r>
    </w:p>
    <w:p w:rsidR="00E547F7" w:rsidRDefault="00E547F7" w:rsidP="00E547F7">
      <w:pPr>
        <w:pStyle w:val="NormalWeb"/>
        <w:spacing w:line="480" w:lineRule="auto"/>
        <w:ind w:left="720" w:hanging="720"/>
      </w:pPr>
      <w:proofErr w:type="spellStart"/>
      <w:proofErr w:type="gramStart"/>
      <w:r>
        <w:t>Irani</w:t>
      </w:r>
      <w:proofErr w:type="spellEnd"/>
      <w:r>
        <w:t>, F., &amp; Richmond, A. S. (2012).</w:t>
      </w:r>
      <w:proofErr w:type="gramEnd"/>
      <w:r>
        <w:t xml:space="preserve"> </w:t>
      </w:r>
      <w:proofErr w:type="gramStart"/>
      <w:r>
        <w:rPr>
          <w:i/>
          <w:iCs/>
        </w:rPr>
        <w:t xml:space="preserve">Listener Reactions to </w:t>
      </w:r>
      <w:proofErr w:type="spellStart"/>
      <w:r>
        <w:rPr>
          <w:i/>
          <w:iCs/>
        </w:rPr>
        <w:t>Pseudostuttering</w:t>
      </w:r>
      <w:proofErr w:type="spellEnd"/>
      <w:r>
        <w:rPr>
          <w:i/>
          <w:iCs/>
        </w:rPr>
        <w:t xml:space="preserve"> Experiences</w:t>
      </w:r>
      <w:r>
        <w:t>.</w:t>
      </w:r>
      <w:proofErr w:type="gramEnd"/>
      <w:r>
        <w:t xml:space="preserve"> https://cjslpa.ca/files/2012_CJSLPA_Vol_36/No_02_88_175/Irani_Richmond-CJSLPA.pdf</w:t>
      </w:r>
    </w:p>
    <w:p w:rsidR="00E547F7" w:rsidRDefault="00E547F7" w:rsidP="00E547F7">
      <w:pPr>
        <w:pStyle w:val="NormalWeb"/>
        <w:spacing w:line="480" w:lineRule="auto"/>
        <w:ind w:left="720" w:hanging="720"/>
      </w:pPr>
      <w:proofErr w:type="gramStart"/>
      <w:r>
        <w:t xml:space="preserve">Kraft, S. J., </w:t>
      </w:r>
      <w:proofErr w:type="spellStart"/>
      <w:r>
        <w:t>Lowther</w:t>
      </w:r>
      <w:proofErr w:type="spellEnd"/>
      <w:r>
        <w:t xml:space="preserve">, E., &amp; </w:t>
      </w:r>
      <w:proofErr w:type="spellStart"/>
      <w:r>
        <w:t>Beilby</w:t>
      </w:r>
      <w:proofErr w:type="spellEnd"/>
      <w:r>
        <w:t>, J. (2019).</w:t>
      </w:r>
      <w:proofErr w:type="gramEnd"/>
      <w:r>
        <w:t xml:space="preserve"> The Role of Effortful Control in Stuttering Severity in Children: Replication Study. </w:t>
      </w:r>
      <w:r>
        <w:rPr>
          <w:i/>
          <w:iCs/>
        </w:rPr>
        <w:t>American Journal of Speech-Language Pathology</w:t>
      </w:r>
      <w:r>
        <w:t xml:space="preserve">, </w:t>
      </w:r>
      <w:r>
        <w:rPr>
          <w:i/>
          <w:iCs/>
        </w:rPr>
        <w:t>28</w:t>
      </w:r>
      <w:r>
        <w:t>(1), 14–28. https://doi.org/10.1044/2018_ajslp-17-0097</w:t>
      </w:r>
    </w:p>
    <w:p w:rsidR="00E547F7" w:rsidRDefault="00E547F7" w:rsidP="00E547F7">
      <w:pPr>
        <w:pStyle w:val="NormalWeb"/>
        <w:spacing w:line="480" w:lineRule="auto"/>
        <w:ind w:left="720" w:hanging="720"/>
      </w:pPr>
      <w:r>
        <w:lastRenderedPageBreak/>
        <w:t xml:space="preserve">McAllister, J., </w:t>
      </w:r>
      <w:proofErr w:type="spellStart"/>
      <w:r>
        <w:t>Gascoine</w:t>
      </w:r>
      <w:proofErr w:type="spellEnd"/>
      <w:r>
        <w:t xml:space="preserve">, S., Carroll, A., </w:t>
      </w:r>
      <w:proofErr w:type="spellStart"/>
      <w:r>
        <w:t>Humby</w:t>
      </w:r>
      <w:proofErr w:type="spellEnd"/>
      <w:r>
        <w:t xml:space="preserve">, K., Kingston, M., Shepstone, L., </w:t>
      </w:r>
      <w:proofErr w:type="spellStart"/>
      <w:r>
        <w:t>Risebro</w:t>
      </w:r>
      <w:proofErr w:type="spellEnd"/>
      <w:r>
        <w:t xml:space="preserve">, H., Mackintosh, B., Thompson, T. D., &amp; </w:t>
      </w:r>
      <w:proofErr w:type="spellStart"/>
      <w:r>
        <w:t>Hodgekins</w:t>
      </w:r>
      <w:proofErr w:type="spellEnd"/>
      <w:r>
        <w:t xml:space="preserve">, J. (2017). Cognitive bias modification for social anxiety in adults who stutter: a feasibility study of a </w:t>
      </w:r>
      <w:proofErr w:type="spellStart"/>
      <w:r>
        <w:t>randomised</w:t>
      </w:r>
      <w:proofErr w:type="spellEnd"/>
      <w:r>
        <w:t xml:space="preserve"> controlled trial. </w:t>
      </w:r>
      <w:proofErr w:type="gramStart"/>
      <w:r>
        <w:rPr>
          <w:i/>
          <w:iCs/>
        </w:rPr>
        <w:t>BMJ Open</w:t>
      </w:r>
      <w:r>
        <w:t xml:space="preserve">, </w:t>
      </w:r>
      <w:r>
        <w:rPr>
          <w:i/>
          <w:iCs/>
        </w:rPr>
        <w:t>7</w:t>
      </w:r>
      <w:r>
        <w:t>(10), e015601.</w:t>
      </w:r>
      <w:proofErr w:type="gramEnd"/>
      <w:r>
        <w:t xml:space="preserve"> https://doi.org/10.1136/bmjopen-2016-015601</w:t>
      </w:r>
    </w:p>
    <w:p w:rsidR="00E547F7" w:rsidRDefault="00E547F7" w:rsidP="00E547F7">
      <w:pPr>
        <w:pStyle w:val="NormalWeb"/>
        <w:spacing w:line="480" w:lineRule="auto"/>
        <w:ind w:left="720" w:hanging="720"/>
      </w:pPr>
      <w:proofErr w:type="gramStart"/>
      <w:r>
        <w:t>RAMI, M., KALINOWSKI, J., STUART, A., &amp; RASTATTER, M. (2003).</w:t>
      </w:r>
      <w:proofErr w:type="gramEnd"/>
      <w:r>
        <w:t xml:space="preserve"> </w:t>
      </w:r>
      <w:proofErr w:type="gramStart"/>
      <w:r>
        <w:t xml:space="preserve">Self-Perceptions of speech language pathologists-in-training before and after </w:t>
      </w:r>
      <w:proofErr w:type="spellStart"/>
      <w:r>
        <w:t>pseudostuttering</w:t>
      </w:r>
      <w:proofErr w:type="spellEnd"/>
      <w:r>
        <w:t xml:space="preserve"> experiences on the telephone.</w:t>
      </w:r>
      <w:proofErr w:type="gramEnd"/>
      <w:r>
        <w:t xml:space="preserve"> </w:t>
      </w:r>
      <w:r>
        <w:rPr>
          <w:i/>
          <w:iCs/>
        </w:rPr>
        <w:t>Disability and Rehabilitation</w:t>
      </w:r>
      <w:r>
        <w:t xml:space="preserve">, </w:t>
      </w:r>
      <w:r>
        <w:rPr>
          <w:i/>
          <w:iCs/>
        </w:rPr>
        <w:t>25</w:t>
      </w:r>
      <w:r>
        <w:t>(9), 491–496. https://doi.org/10.1080/0963828031000090425</w:t>
      </w:r>
    </w:p>
    <w:p w:rsidR="00E547F7" w:rsidRDefault="00E547F7" w:rsidP="00E547F7">
      <w:pPr>
        <w:pStyle w:val="NormalWeb"/>
        <w:spacing w:line="480" w:lineRule="auto"/>
        <w:ind w:left="720" w:hanging="720"/>
      </w:pPr>
      <w:proofErr w:type="spellStart"/>
      <w:r>
        <w:t>Reitzes</w:t>
      </w:r>
      <w:proofErr w:type="spellEnd"/>
      <w:r>
        <w:t xml:space="preserve">, P. (2005). </w:t>
      </w:r>
      <w:proofErr w:type="gramStart"/>
      <w:r>
        <w:rPr>
          <w:i/>
          <w:iCs/>
        </w:rPr>
        <w:t>The Why and the How of Voluntary Stuttering</w:t>
      </w:r>
      <w:r>
        <w:t>.</w:t>
      </w:r>
      <w:proofErr w:type="gramEnd"/>
      <w:r>
        <w:t xml:space="preserve"> </w:t>
      </w:r>
      <w:proofErr w:type="gramStart"/>
      <w:r>
        <w:t>Minnesota State Mankato.</w:t>
      </w:r>
      <w:proofErr w:type="gramEnd"/>
      <w:r>
        <w:t xml:space="preserve"> https://www.mnsu.edu/comdis/isad8/papers/reitzes8.html</w:t>
      </w:r>
    </w:p>
    <w:p w:rsidR="00E547F7" w:rsidRDefault="00E547F7" w:rsidP="00E547F7">
      <w:pPr>
        <w:pStyle w:val="NormalWeb"/>
        <w:spacing w:line="480" w:lineRule="auto"/>
        <w:ind w:left="720" w:hanging="720"/>
      </w:pPr>
      <w:r>
        <w:t xml:space="preserve">Silverman, A. (2017). </w:t>
      </w:r>
      <w:r>
        <w:rPr>
          <w:i/>
          <w:iCs/>
        </w:rPr>
        <w:t>Disability Simulations: What Does the Research Say?</w:t>
      </w:r>
      <w:r>
        <w:t xml:space="preserve"> </w:t>
      </w:r>
      <w:proofErr w:type="gramStart"/>
      <w:r>
        <w:t>National Federation of the Blind.</w:t>
      </w:r>
      <w:proofErr w:type="gramEnd"/>
      <w:r>
        <w:t xml:space="preserve"> https://www.nfb.org/images/nfb/publications/bm/bm17/bm1706/bm170602.htm?fbclid=IwAR11T6-0drwNZ70zEvmSi6if0puiTbnBcmlYN7veP2-WjYhROvGPrvlsI80</w:t>
      </w:r>
    </w:p>
    <w:p w:rsidR="00E547F7" w:rsidRDefault="00E547F7" w:rsidP="00E547F7">
      <w:pPr>
        <w:pStyle w:val="NormalWeb"/>
        <w:spacing w:line="480" w:lineRule="auto"/>
        <w:ind w:left="720" w:hanging="720"/>
      </w:pPr>
      <w:proofErr w:type="gramStart"/>
      <w:r>
        <w:t>Tobin, L., &amp; Lyons, R. (2015).</w:t>
      </w:r>
      <w:proofErr w:type="gramEnd"/>
      <w:r>
        <w:t xml:space="preserve"> The Impact of </w:t>
      </w:r>
      <w:proofErr w:type="spellStart"/>
      <w:r>
        <w:t>Pseudostuttering</w:t>
      </w:r>
      <w:proofErr w:type="spellEnd"/>
      <w:r>
        <w:t xml:space="preserve"> Experiences on SLT students’ Learning. </w:t>
      </w:r>
      <w:proofErr w:type="spellStart"/>
      <w:proofErr w:type="gramStart"/>
      <w:r>
        <w:rPr>
          <w:i/>
          <w:iCs/>
        </w:rPr>
        <w:t>Procedia</w:t>
      </w:r>
      <w:proofErr w:type="spellEnd"/>
      <w:r>
        <w:rPr>
          <w:i/>
          <w:iCs/>
        </w:rPr>
        <w:t xml:space="preserve"> - Social and Behavioral Sciences</w:t>
      </w:r>
      <w:r>
        <w:t xml:space="preserve">, </w:t>
      </w:r>
      <w:r>
        <w:rPr>
          <w:i/>
          <w:iCs/>
        </w:rPr>
        <w:t>193</w:t>
      </w:r>
      <w:r>
        <w:t>, 330.</w:t>
      </w:r>
      <w:proofErr w:type="gramEnd"/>
      <w:r>
        <w:t xml:space="preserve"> https://doi.org/10.1016/j.sbspro.2015.03.301</w:t>
      </w:r>
    </w:p>
    <w:p w:rsidR="00E547F7" w:rsidRPr="00E547F7" w:rsidRDefault="00E547F7" w:rsidP="00E547F7">
      <w:pPr>
        <w:tabs>
          <w:tab w:val="left" w:pos="7860"/>
        </w:tabs>
        <w:spacing w:line="480" w:lineRule="auto"/>
        <w:rPr>
          <w:rFonts w:ascii="Times New Roman" w:hAnsi="Times New Roman" w:cs="Times New Roman"/>
          <w:sz w:val="24"/>
          <w:szCs w:val="24"/>
        </w:rPr>
      </w:pPr>
    </w:p>
    <w:sectPr w:rsidR="00E547F7" w:rsidRPr="00E547F7" w:rsidSect="00756A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96E" w:rsidRDefault="001A596E" w:rsidP="00756A97">
      <w:pPr>
        <w:spacing w:after="0" w:line="240" w:lineRule="auto"/>
      </w:pPr>
      <w:r>
        <w:separator/>
      </w:r>
    </w:p>
  </w:endnote>
  <w:endnote w:type="continuationSeparator" w:id="0">
    <w:p w:rsidR="001A596E" w:rsidRDefault="001A596E" w:rsidP="00756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96E" w:rsidRDefault="001A596E" w:rsidP="00756A97">
      <w:pPr>
        <w:spacing w:after="0" w:line="240" w:lineRule="auto"/>
      </w:pPr>
      <w:r>
        <w:separator/>
      </w:r>
    </w:p>
  </w:footnote>
  <w:footnote w:type="continuationSeparator" w:id="0">
    <w:p w:rsidR="001A596E" w:rsidRDefault="001A596E" w:rsidP="00756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3748269"/>
      <w:docPartObj>
        <w:docPartGallery w:val="Page Numbers (Top of Page)"/>
        <w:docPartUnique/>
      </w:docPartObj>
    </w:sdtPr>
    <w:sdtEndPr>
      <w:rPr>
        <w:noProof/>
      </w:rPr>
    </w:sdtEndPr>
    <w:sdtContent>
      <w:p w:rsidR="00756A97" w:rsidRPr="00756A97" w:rsidRDefault="00756A97" w:rsidP="00756A97">
        <w:pPr>
          <w:pStyle w:val="Header"/>
          <w:rPr>
            <w:rFonts w:ascii="Times New Roman" w:hAnsi="Times New Roman" w:cs="Times New Roman"/>
            <w:sz w:val="24"/>
            <w:szCs w:val="24"/>
          </w:rPr>
        </w:pPr>
        <w:r>
          <w:rPr>
            <w:rFonts w:ascii="Times New Roman" w:hAnsi="Times New Roman" w:cs="Times New Roman"/>
            <w:sz w:val="24"/>
            <w:szCs w:val="24"/>
          </w:rPr>
          <w:t>PSEUDO-STUTTERING</w:t>
        </w:r>
        <w:r w:rsidRPr="00756A97">
          <w:rPr>
            <w:rFonts w:ascii="Times New Roman" w:hAnsi="Times New Roman" w:cs="Times New Roman"/>
            <w:sz w:val="24"/>
            <w:szCs w:val="24"/>
          </w:rPr>
          <w:tab/>
        </w:r>
        <w:r w:rsidRPr="00756A97">
          <w:rPr>
            <w:rFonts w:ascii="Times New Roman" w:hAnsi="Times New Roman" w:cs="Times New Roman"/>
            <w:sz w:val="24"/>
            <w:szCs w:val="24"/>
          </w:rPr>
          <w:tab/>
        </w:r>
        <w:r w:rsidRPr="00756A97">
          <w:rPr>
            <w:rFonts w:ascii="Times New Roman" w:hAnsi="Times New Roman" w:cs="Times New Roman"/>
            <w:sz w:val="24"/>
            <w:szCs w:val="24"/>
          </w:rPr>
          <w:tab/>
        </w:r>
        <w:r w:rsidRPr="00756A97">
          <w:rPr>
            <w:rFonts w:ascii="Times New Roman" w:hAnsi="Times New Roman" w:cs="Times New Roman"/>
            <w:sz w:val="24"/>
            <w:szCs w:val="24"/>
          </w:rPr>
          <w:fldChar w:fldCharType="begin"/>
        </w:r>
        <w:r w:rsidRPr="00756A97">
          <w:rPr>
            <w:rFonts w:ascii="Times New Roman" w:hAnsi="Times New Roman" w:cs="Times New Roman"/>
            <w:sz w:val="24"/>
            <w:szCs w:val="24"/>
          </w:rPr>
          <w:instrText xml:space="preserve"> PAGE   \* MERGEFORMAT </w:instrText>
        </w:r>
        <w:r w:rsidRPr="00756A97">
          <w:rPr>
            <w:rFonts w:ascii="Times New Roman" w:hAnsi="Times New Roman" w:cs="Times New Roman"/>
            <w:sz w:val="24"/>
            <w:szCs w:val="24"/>
          </w:rPr>
          <w:fldChar w:fldCharType="separate"/>
        </w:r>
        <w:r w:rsidR="00DE3D48">
          <w:rPr>
            <w:rFonts w:ascii="Times New Roman" w:hAnsi="Times New Roman" w:cs="Times New Roman"/>
            <w:noProof/>
            <w:sz w:val="24"/>
            <w:szCs w:val="24"/>
          </w:rPr>
          <w:t>3</w:t>
        </w:r>
        <w:r w:rsidRPr="00756A97">
          <w:rPr>
            <w:rFonts w:ascii="Times New Roman" w:hAnsi="Times New Roman" w:cs="Times New Roman"/>
            <w:noProof/>
            <w:sz w:val="24"/>
            <w:szCs w:val="24"/>
          </w:rPr>
          <w:fldChar w:fldCharType="end"/>
        </w:r>
      </w:p>
    </w:sdtContent>
  </w:sdt>
  <w:p w:rsidR="00756A97" w:rsidRPr="00756A97" w:rsidRDefault="00756A97" w:rsidP="00756A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0085664"/>
      <w:docPartObj>
        <w:docPartGallery w:val="Page Numbers (Top of Page)"/>
        <w:docPartUnique/>
      </w:docPartObj>
    </w:sdtPr>
    <w:sdtEndPr>
      <w:rPr>
        <w:noProof/>
      </w:rPr>
    </w:sdtEndPr>
    <w:sdtContent>
      <w:p w:rsidR="00756A97" w:rsidRPr="00756A97" w:rsidRDefault="00756A97">
        <w:pPr>
          <w:pStyle w:val="Header"/>
          <w:jc w:val="right"/>
          <w:rPr>
            <w:rFonts w:ascii="Times New Roman" w:hAnsi="Times New Roman" w:cs="Times New Roman"/>
            <w:sz w:val="24"/>
            <w:szCs w:val="24"/>
          </w:rPr>
        </w:pPr>
        <w:r w:rsidRPr="00756A97">
          <w:rPr>
            <w:rFonts w:ascii="Times New Roman" w:hAnsi="Times New Roman" w:cs="Times New Roman"/>
            <w:sz w:val="24"/>
            <w:szCs w:val="24"/>
          </w:rPr>
          <w:fldChar w:fldCharType="begin"/>
        </w:r>
        <w:r w:rsidRPr="00756A97">
          <w:rPr>
            <w:rFonts w:ascii="Times New Roman" w:hAnsi="Times New Roman" w:cs="Times New Roman"/>
            <w:sz w:val="24"/>
            <w:szCs w:val="24"/>
          </w:rPr>
          <w:instrText xml:space="preserve"> PAGE   \* MERGEFORMAT </w:instrText>
        </w:r>
        <w:r w:rsidRPr="00756A97">
          <w:rPr>
            <w:rFonts w:ascii="Times New Roman" w:hAnsi="Times New Roman" w:cs="Times New Roman"/>
            <w:sz w:val="24"/>
            <w:szCs w:val="24"/>
          </w:rPr>
          <w:fldChar w:fldCharType="separate"/>
        </w:r>
        <w:r w:rsidR="00DE3D48">
          <w:rPr>
            <w:rFonts w:ascii="Times New Roman" w:hAnsi="Times New Roman" w:cs="Times New Roman"/>
            <w:noProof/>
            <w:sz w:val="24"/>
            <w:szCs w:val="24"/>
          </w:rPr>
          <w:t>1</w:t>
        </w:r>
        <w:r w:rsidRPr="00756A97">
          <w:rPr>
            <w:rFonts w:ascii="Times New Roman" w:hAnsi="Times New Roman" w:cs="Times New Roman"/>
            <w:noProof/>
            <w:sz w:val="24"/>
            <w:szCs w:val="24"/>
          </w:rPr>
          <w:fldChar w:fldCharType="end"/>
        </w:r>
      </w:p>
    </w:sdtContent>
  </w:sdt>
  <w:p w:rsidR="00756A97" w:rsidRDefault="00756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3D"/>
    <w:rsid w:val="00081BE1"/>
    <w:rsid w:val="00091BBD"/>
    <w:rsid w:val="000D05A1"/>
    <w:rsid w:val="0014188E"/>
    <w:rsid w:val="00160BFC"/>
    <w:rsid w:val="00173D7B"/>
    <w:rsid w:val="00184CDB"/>
    <w:rsid w:val="001A596E"/>
    <w:rsid w:val="001C7A3C"/>
    <w:rsid w:val="00293F28"/>
    <w:rsid w:val="00296272"/>
    <w:rsid w:val="00325BC6"/>
    <w:rsid w:val="003A4BA2"/>
    <w:rsid w:val="003B3557"/>
    <w:rsid w:val="003E4A11"/>
    <w:rsid w:val="0043547A"/>
    <w:rsid w:val="00461861"/>
    <w:rsid w:val="00463920"/>
    <w:rsid w:val="00463E95"/>
    <w:rsid w:val="004D3ED1"/>
    <w:rsid w:val="00591267"/>
    <w:rsid w:val="005C2566"/>
    <w:rsid w:val="00612E3D"/>
    <w:rsid w:val="00617AF4"/>
    <w:rsid w:val="00630240"/>
    <w:rsid w:val="006401A0"/>
    <w:rsid w:val="006C636F"/>
    <w:rsid w:val="00756A97"/>
    <w:rsid w:val="007A5640"/>
    <w:rsid w:val="008B7EEF"/>
    <w:rsid w:val="00903F9A"/>
    <w:rsid w:val="00957E53"/>
    <w:rsid w:val="00A9706B"/>
    <w:rsid w:val="00B4145E"/>
    <w:rsid w:val="00B646BC"/>
    <w:rsid w:val="00B70231"/>
    <w:rsid w:val="00C13920"/>
    <w:rsid w:val="00C15EBA"/>
    <w:rsid w:val="00D01C5B"/>
    <w:rsid w:val="00DC26C1"/>
    <w:rsid w:val="00DE3D48"/>
    <w:rsid w:val="00E450BB"/>
    <w:rsid w:val="00E547F7"/>
    <w:rsid w:val="00EB2E40"/>
    <w:rsid w:val="00EF722B"/>
    <w:rsid w:val="00F02E1E"/>
    <w:rsid w:val="00F76A7E"/>
    <w:rsid w:val="00FA3AED"/>
    <w:rsid w:val="00FD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612E3D"/>
  </w:style>
  <w:style w:type="paragraph" w:styleId="BalloonText">
    <w:name w:val="Balloon Text"/>
    <w:basedOn w:val="Normal"/>
    <w:link w:val="BalloonTextChar"/>
    <w:uiPriority w:val="99"/>
    <w:semiHidden/>
    <w:unhideWhenUsed/>
    <w:rsid w:val="00612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E3D"/>
    <w:rPr>
      <w:rFonts w:ascii="Tahoma" w:hAnsi="Tahoma" w:cs="Tahoma"/>
      <w:sz w:val="16"/>
      <w:szCs w:val="16"/>
    </w:rPr>
  </w:style>
  <w:style w:type="character" w:customStyle="1" w:styleId="a">
    <w:name w:val="_"/>
    <w:basedOn w:val="DefaultParagraphFont"/>
    <w:rsid w:val="00D01C5B"/>
  </w:style>
  <w:style w:type="paragraph" w:styleId="Header">
    <w:name w:val="header"/>
    <w:basedOn w:val="Normal"/>
    <w:link w:val="HeaderChar"/>
    <w:uiPriority w:val="99"/>
    <w:unhideWhenUsed/>
    <w:rsid w:val="00756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97"/>
  </w:style>
  <w:style w:type="paragraph" w:styleId="Footer">
    <w:name w:val="footer"/>
    <w:basedOn w:val="Normal"/>
    <w:link w:val="FooterChar"/>
    <w:uiPriority w:val="99"/>
    <w:unhideWhenUsed/>
    <w:rsid w:val="00756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A97"/>
  </w:style>
  <w:style w:type="paragraph" w:styleId="NormalWeb">
    <w:name w:val="Normal (Web)"/>
    <w:basedOn w:val="Normal"/>
    <w:uiPriority w:val="99"/>
    <w:semiHidden/>
    <w:unhideWhenUsed/>
    <w:rsid w:val="00E547F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612E3D"/>
  </w:style>
  <w:style w:type="paragraph" w:styleId="BalloonText">
    <w:name w:val="Balloon Text"/>
    <w:basedOn w:val="Normal"/>
    <w:link w:val="BalloonTextChar"/>
    <w:uiPriority w:val="99"/>
    <w:semiHidden/>
    <w:unhideWhenUsed/>
    <w:rsid w:val="00612E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E3D"/>
    <w:rPr>
      <w:rFonts w:ascii="Tahoma" w:hAnsi="Tahoma" w:cs="Tahoma"/>
      <w:sz w:val="16"/>
      <w:szCs w:val="16"/>
    </w:rPr>
  </w:style>
  <w:style w:type="character" w:customStyle="1" w:styleId="a">
    <w:name w:val="_"/>
    <w:basedOn w:val="DefaultParagraphFont"/>
    <w:rsid w:val="00D01C5B"/>
  </w:style>
  <w:style w:type="paragraph" w:styleId="Header">
    <w:name w:val="header"/>
    <w:basedOn w:val="Normal"/>
    <w:link w:val="HeaderChar"/>
    <w:uiPriority w:val="99"/>
    <w:unhideWhenUsed/>
    <w:rsid w:val="00756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97"/>
  </w:style>
  <w:style w:type="paragraph" w:styleId="Footer">
    <w:name w:val="footer"/>
    <w:basedOn w:val="Normal"/>
    <w:link w:val="FooterChar"/>
    <w:uiPriority w:val="99"/>
    <w:unhideWhenUsed/>
    <w:rsid w:val="00756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A97"/>
  </w:style>
  <w:style w:type="paragraph" w:styleId="NormalWeb">
    <w:name w:val="Normal (Web)"/>
    <w:basedOn w:val="Normal"/>
    <w:uiPriority w:val="99"/>
    <w:semiHidden/>
    <w:unhideWhenUsed/>
    <w:rsid w:val="00E547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527506">
      <w:bodyDiv w:val="1"/>
      <w:marLeft w:val="0"/>
      <w:marRight w:val="0"/>
      <w:marTop w:val="0"/>
      <w:marBottom w:val="0"/>
      <w:divBdr>
        <w:top w:val="none" w:sz="0" w:space="0" w:color="auto"/>
        <w:left w:val="none" w:sz="0" w:space="0" w:color="auto"/>
        <w:bottom w:val="none" w:sz="0" w:space="0" w:color="auto"/>
        <w:right w:val="none" w:sz="0" w:space="0" w:color="auto"/>
      </w:divBdr>
    </w:div>
    <w:div w:id="848640676">
      <w:bodyDiv w:val="1"/>
      <w:marLeft w:val="0"/>
      <w:marRight w:val="0"/>
      <w:marTop w:val="0"/>
      <w:marBottom w:val="0"/>
      <w:divBdr>
        <w:top w:val="none" w:sz="0" w:space="0" w:color="auto"/>
        <w:left w:val="none" w:sz="0" w:space="0" w:color="auto"/>
        <w:bottom w:val="none" w:sz="0" w:space="0" w:color="auto"/>
        <w:right w:val="none" w:sz="0" w:space="0" w:color="auto"/>
      </w:divBdr>
    </w:div>
    <w:div w:id="992832681">
      <w:bodyDiv w:val="1"/>
      <w:marLeft w:val="0"/>
      <w:marRight w:val="0"/>
      <w:marTop w:val="0"/>
      <w:marBottom w:val="0"/>
      <w:divBdr>
        <w:top w:val="none" w:sz="0" w:space="0" w:color="auto"/>
        <w:left w:val="none" w:sz="0" w:space="0" w:color="auto"/>
        <w:bottom w:val="none" w:sz="0" w:space="0" w:color="auto"/>
        <w:right w:val="none" w:sz="0" w:space="0" w:color="auto"/>
      </w:divBdr>
      <w:divsChild>
        <w:div w:id="2118483188">
          <w:marLeft w:val="0"/>
          <w:marRight w:val="0"/>
          <w:marTop w:val="0"/>
          <w:marBottom w:val="0"/>
          <w:divBdr>
            <w:top w:val="none" w:sz="0" w:space="0" w:color="auto"/>
            <w:left w:val="none" w:sz="0" w:space="0" w:color="auto"/>
            <w:bottom w:val="none" w:sz="0" w:space="0" w:color="auto"/>
            <w:right w:val="none" w:sz="0" w:space="0" w:color="auto"/>
          </w:divBdr>
          <w:divsChild>
            <w:div w:id="770979263">
              <w:marLeft w:val="0"/>
              <w:marRight w:val="0"/>
              <w:marTop w:val="0"/>
              <w:marBottom w:val="0"/>
              <w:divBdr>
                <w:top w:val="none" w:sz="0" w:space="0" w:color="auto"/>
                <w:left w:val="none" w:sz="0" w:space="0" w:color="auto"/>
                <w:bottom w:val="none" w:sz="0" w:space="0" w:color="auto"/>
                <w:right w:val="none" w:sz="0" w:space="0" w:color="auto"/>
              </w:divBdr>
            </w:div>
            <w:div w:id="190252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6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2020-11-23T14:13:00Z</dcterms:created>
  <dcterms:modified xsi:type="dcterms:W3CDTF">2020-11-23T14:13:00Z</dcterms:modified>
</cp:coreProperties>
</file>